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FE077C" w:rsidTr="000D77B6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77C" w:rsidRDefault="00FE077C" w:rsidP="000D77B6">
            <w:pPr>
              <w:pStyle w:val="3"/>
              <w:spacing w:line="276" w:lineRule="auto"/>
              <w:rPr>
                <w:rFonts w:ascii="Times New Roman" w:eastAsiaTheme="minorEastAsia" w:hAnsi="Times New Roman"/>
                <w:spacing w:val="-4"/>
                <w:sz w:val="18"/>
              </w:rPr>
            </w:pPr>
            <w:r>
              <w:rPr>
                <w:rFonts w:ascii="Times New Roman" w:eastAsiaTheme="minorEastAsia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eastAsiaTheme="minorEastAsia" w:hAnsi="Times New Roman"/>
                <w:spacing w:val="-4"/>
                <w:sz w:val="18"/>
                <w:lang w:val="tt-RU"/>
              </w:rPr>
              <w:t>һ</w:t>
            </w:r>
            <w:r>
              <w:rPr>
                <w:rFonts w:ascii="Times New Roman" w:eastAsiaTheme="minorEastAsia" w:hAnsi="Times New Roman"/>
                <w:spacing w:val="-4"/>
                <w:sz w:val="18"/>
              </w:rPr>
              <w:t>ы</w:t>
            </w:r>
          </w:p>
          <w:p w:rsidR="00FE077C" w:rsidRDefault="00FE077C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FE077C" w:rsidRDefault="00FE077C" w:rsidP="000D77B6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7C" w:rsidRDefault="00FE077C" w:rsidP="000D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77C" w:rsidRDefault="00FE077C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7C" w:rsidRDefault="00FE077C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FE077C" w:rsidRDefault="00FE077C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FE077C" w:rsidRDefault="00FE077C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FE077C" w:rsidRDefault="00FE077C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FE077C" w:rsidRDefault="00FE077C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4"/>
              </w:rPr>
            </w:pPr>
          </w:p>
          <w:p w:rsidR="00FE077C" w:rsidRDefault="00FE077C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FE077C" w:rsidRDefault="00FE077C" w:rsidP="000D77B6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FE077C" w:rsidTr="000D77B6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7C" w:rsidRDefault="00FE077C" w:rsidP="000D77B6">
            <w:pPr>
              <w:pStyle w:val="3"/>
              <w:spacing w:line="276" w:lineRule="auto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7C" w:rsidRDefault="00FE077C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77C" w:rsidRDefault="00FE077C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FE077C" w:rsidTr="000D77B6">
        <w:trPr>
          <w:tblHeader/>
        </w:trPr>
        <w:tc>
          <w:tcPr>
            <w:tcW w:w="412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E077C" w:rsidRDefault="00FE077C" w:rsidP="000D77B6">
            <w:pPr>
              <w:pStyle w:val="3"/>
              <w:spacing w:line="276" w:lineRule="auto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E077C" w:rsidRDefault="00FE077C" w:rsidP="000D77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FE077C" w:rsidRDefault="00FE077C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48"/>
        <w:gridCol w:w="943"/>
        <w:gridCol w:w="1325"/>
        <w:gridCol w:w="828"/>
        <w:gridCol w:w="365"/>
        <w:gridCol w:w="313"/>
      </w:tblGrid>
      <w:tr w:rsidR="00FE077C" w:rsidTr="000D77B6">
        <w:trPr>
          <w:gridBefore w:val="1"/>
          <w:wBefore w:w="143" w:type="dxa"/>
          <w:cantSplit/>
          <w:trHeight w:val="265"/>
        </w:trPr>
        <w:tc>
          <w:tcPr>
            <w:tcW w:w="4025" w:type="dxa"/>
            <w:gridSpan w:val="6"/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b/>
                <w:bCs/>
                <w:spacing w:val="40"/>
                <w:sz w:val="26"/>
              </w:rPr>
            </w:pPr>
            <w:r>
              <w:rPr>
                <w:rFonts w:eastAsiaTheme="minorEastAsia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eastAsiaTheme="minorEastAsia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FE077C" w:rsidRDefault="00FE077C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>
              <w:pict>
                <v:line id="_x0000_s1028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FE077C" w:rsidRDefault="00FE077C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pict>
                <v:line id="_x0000_s1029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pict>
                <v:line id="_x0000_s1026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E077C" w:rsidTr="000D77B6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FE077C" w:rsidTr="000D77B6">
        <w:trPr>
          <w:gridBefore w:val="7"/>
          <w:gridAfter w:val="6"/>
          <w:wBefore w:w="4168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FE077C" w:rsidTr="000D77B6">
        <w:trPr>
          <w:cantSplit/>
          <w:trHeight w:val="191"/>
        </w:trPr>
        <w:tc>
          <w:tcPr>
            <w:tcW w:w="292" w:type="dxa"/>
            <w:gridSpan w:val="2"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 xml:space="preserve">«02»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й</w:t>
            </w:r>
          </w:p>
        </w:tc>
        <w:tc>
          <w:tcPr>
            <w:tcW w:w="342" w:type="dxa"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  <w:tc>
          <w:tcPr>
            <w:tcW w:w="547" w:type="dxa"/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b/>
                <w:bCs/>
                <w:sz w:val="26"/>
              </w:rPr>
            </w:pPr>
            <w:r>
              <w:rPr>
                <w:rFonts w:eastAsiaTheme="minorEastAsia"/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 xml:space="preserve">   7</w:t>
            </w:r>
          </w:p>
        </w:tc>
        <w:tc>
          <w:tcPr>
            <w:tcW w:w="348" w:type="dxa"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«02»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апреля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  <w:r>
              <w:rPr>
                <w:rFonts w:eastAsiaTheme="minorEastAsia"/>
                <w:sz w:val="26"/>
              </w:rPr>
              <w:t>г</w:t>
            </w:r>
          </w:p>
        </w:tc>
        <w:tc>
          <w:tcPr>
            <w:tcW w:w="313" w:type="dxa"/>
          </w:tcPr>
          <w:p w:rsidR="00FE077C" w:rsidRDefault="00FE077C" w:rsidP="000D77B6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6"/>
              </w:rPr>
            </w:pPr>
          </w:p>
        </w:tc>
      </w:tr>
    </w:tbl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77C" w:rsidRDefault="00FE077C" w:rsidP="00FE077C">
      <w:pPr>
        <w:pStyle w:val="31"/>
        <w:jc w:val="left"/>
        <w:rPr>
          <w:rFonts w:ascii="Times New Roman" w:hAnsi="Times New Roman"/>
          <w:bCs/>
          <w:caps w:val="0"/>
          <w:spacing w:val="0"/>
          <w:sz w:val="26"/>
          <w:szCs w:val="26"/>
        </w:rPr>
      </w:pPr>
      <w:r>
        <w:rPr>
          <w:rFonts w:ascii="Times New Roman" w:hAnsi="Times New Roman"/>
          <w:bCs/>
          <w:caps w:val="0"/>
          <w:spacing w:val="0"/>
          <w:sz w:val="26"/>
          <w:szCs w:val="26"/>
          <w:lang w:val="tt-RU"/>
        </w:rPr>
        <w:t xml:space="preserve">                 </w:t>
      </w:r>
      <w:r>
        <w:rPr>
          <w:rFonts w:ascii="Times New Roman" w:hAnsi="Times New Roman"/>
          <w:bCs/>
          <w:caps w:val="0"/>
          <w:spacing w:val="0"/>
          <w:sz w:val="26"/>
          <w:szCs w:val="26"/>
        </w:rPr>
        <w:t>Об организации  пропуска  весеннего  половодья  на территории</w:t>
      </w:r>
    </w:p>
    <w:p w:rsidR="00FE077C" w:rsidRDefault="00FE077C" w:rsidP="00FE077C">
      <w:pPr>
        <w:pStyle w:val="31"/>
        <w:jc w:val="left"/>
        <w:rPr>
          <w:rFonts w:ascii="Times New Roman" w:hAnsi="Times New Roman"/>
          <w:bCs/>
          <w:caps w:val="0"/>
          <w:spacing w:val="0"/>
          <w:sz w:val="26"/>
          <w:szCs w:val="26"/>
        </w:rPr>
      </w:pPr>
      <w:r>
        <w:rPr>
          <w:rFonts w:ascii="Times New Roman" w:hAnsi="Times New Roman"/>
          <w:bCs/>
          <w:caps w:val="0"/>
          <w:spacing w:val="0"/>
          <w:sz w:val="26"/>
          <w:szCs w:val="26"/>
          <w:lang w:val="tt-RU"/>
        </w:rPr>
        <w:t xml:space="preserve">          </w:t>
      </w:r>
      <w:r>
        <w:rPr>
          <w:rFonts w:ascii="Times New Roman" w:hAnsi="Times New Roman"/>
          <w:bCs/>
          <w:caps w:val="0"/>
          <w:spacing w:val="0"/>
          <w:sz w:val="26"/>
          <w:szCs w:val="26"/>
        </w:rPr>
        <w:t>сельского поселения Горьковский сельсовет  муниципального района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Кушнаренковский район РБ</w:t>
      </w:r>
    </w:p>
    <w:p w:rsidR="00FE077C" w:rsidRDefault="00FE077C" w:rsidP="00FE0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077C" w:rsidRDefault="00FE077C" w:rsidP="00FE0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 своевременной и  качественной подготовки  населенных  пунктов, хозяйственных  строений, предотвращения возникновения  чрезвычайных  ситуаций  и  уменьшения  опасных последствий весеннего  паводка  2018 года, оказания  оперативной  помощи  организациям и  населению  в выполнении противопаводковых  мероприятий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состав  противопаводковой  комиссии  при  администрации  сельского поселения  Горьковский  сельсовет.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Утвердить  план мероприятий  по  обеспечению  подготовки  населенных  пунктов, хозяйственных  строений, мостов и  других  сооружений  к  пропуску  льда  и  половодья  в 2018 году.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Крестьянско- фермерским  хозяйствам, организациям, учреждениям (по согласованию):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обеспечить  своевременное осуществление  первоочередных, противопаводковых  работ;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принять меры  по  обеспечению  безопасности и своевременному  инфор-мированию населения  о  прохождении  паводка, организации  медицинской  помощи  и  устойчивому  функционированию  систем  жизнеобеспечения;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-  установить постоянный  контроль  за  состоянием  прудов и  накопителей  жидких  отходов.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Контроль  за  выполнением  данного  постановления  оставляю за собой.</w:t>
      </w: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E077C" w:rsidRDefault="00FE077C" w:rsidP="00FE077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Глава администрации сельского поселения</w:t>
      </w:r>
    </w:p>
    <w:p w:rsidR="00FE077C" w:rsidRDefault="00FE077C" w:rsidP="00FE077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Горьковский сельсовет                                                           Д.И.Шарафеев</w:t>
      </w:r>
    </w:p>
    <w:p w:rsidR="00FE077C" w:rsidRDefault="00FE077C" w:rsidP="00FE077C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77C" w:rsidRDefault="00FE077C" w:rsidP="00FE077C">
      <w:pPr>
        <w:pStyle w:val="8"/>
        <w:spacing w:before="0" w:line="240" w:lineRule="auto"/>
        <w:ind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  МЕРОПРИЯТИЙ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по  обеспечению  подготовки  населенных  пунктов, хозяйственных  строений,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мостов  и  других  сооружений  к  пропуску  льда   и  половодья  в  2018  году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6097"/>
        <w:gridCol w:w="1844"/>
        <w:gridCol w:w="2127"/>
      </w:tblGrid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противопаводковую  комиссию, активизи-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 работу  по  подготовке  к  пропуску  льда  и 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половодья.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05.04.18г.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администр.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населенные  пункты,  складские  помещения  и  все  опасные  участки,  которые  могут  быть  затоплены талыми  водами, разработать  план  предупредительных  и  спасательных  работ по  каждому  объекту.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состояние  улиц, переулков, дорог, мостов,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 провести  ремонтные  работы, очис-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тить от  снега  и наледи  кюветы  и  мостовые  пролеты, к  началу  половодья опорожнить  водоемы  сезонного  регулирования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 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 состояние прудов, очистить  от  наледи, снега,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необходимости  спустить  воду.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объектах  повышенной  опасности и  попадающих  в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зону  затопления  организовать  круглосуточное  дежур-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  ответственных  лиц. Организовать аварийные  бри-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гады, укомплектовав их  людьми, необходимой техникой, 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инвентарем,  материалами  для  ликвидации  аварий.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инструктаж  всех  работников  осуществляю-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щих  работы, связанные  с  пропуском  льда  и  половодья.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сохранность опор линий связи, электропере-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дачи, заблаговременно  установить  за  ними  системати-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ческие наблюдения.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период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половодья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И.С.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Сахауов Ф.Ф.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вывоз  материальных  ценностей  из  зон  возможного  затопления.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 обеспечения  экологической  безопасности  во 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 весеннего  половодья провести  инвентаризацию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 захоронения, неорганизованных  скоплений  быто-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  и  промышленных  отходов  в населенных  пунктах,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КФХ, на  берегах  рек, прудов. Обеспечить  своевремен-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ную  защиту  мест  захоронения, вывоз  за пределы  затопляемой  зоны бытовых  и  промышленных  отходов,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работы  по  предотвращению  загрязнения  и 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засорения  водоемов.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начала  половодья  принять меры  по  сохранению,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 , фуража, семян.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 от  снега  и  льда  кровли,  водосточные  ворон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ки, отводы  и  отмоски  жилых  домов, кровли  животноводческих ферм, подвальные помещения, а также канализационные  колодцы, водозаборные  колонки  и других  объектов  с  отводом  талых  вод.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05.04.18г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каждом  КФХ назначить  дежурных  механизаторов  с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техникой.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период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половодья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E077C" w:rsidTr="000D7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 беседу  с  населением  о  мерах  предосторож-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  во  время  паводка.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период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половодья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7C" w:rsidRDefault="00FE077C" w:rsidP="000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E077C" w:rsidRDefault="00FE077C" w:rsidP="000D7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Р.Р.Галяутдинова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</w:rPr>
      </w:pPr>
    </w:p>
    <w:p w:rsidR="00FE077C" w:rsidRDefault="00FE077C" w:rsidP="00FE077C">
      <w:pPr>
        <w:pStyle w:val="4"/>
        <w:spacing w:before="0" w:line="240" w:lineRule="auto"/>
        <w:jc w:val="center"/>
        <w:rPr>
          <w:rFonts w:ascii="Times New Roman" w:eastAsia="Arial Unicode MS" w:hAnsi="Times New Roman" w:cs="Times New Roman"/>
          <w:lang w:val="tt-RU"/>
        </w:rPr>
      </w:pPr>
      <w:r>
        <w:rPr>
          <w:rFonts w:ascii="Times New Roman" w:eastAsia="Arial Unicode MS" w:hAnsi="Times New Roman" w:cs="Times New Roman"/>
          <w:b w:val="0"/>
          <w:bCs w:val="0"/>
          <w:lang w:val="tt-RU"/>
        </w:rPr>
        <w:lastRenderedPageBreak/>
        <w:t xml:space="preserve">   </w:t>
      </w:r>
    </w:p>
    <w:p w:rsidR="00FE077C" w:rsidRDefault="00FE077C" w:rsidP="00FE077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                      </w:t>
      </w:r>
    </w:p>
    <w:p w:rsidR="00FE077C" w:rsidRDefault="00FE077C" w:rsidP="00FE077C">
      <w:pPr>
        <w:pStyle w:val="4"/>
        <w:spacing w:before="0" w:line="240" w:lineRule="auto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tt-RU"/>
        </w:rPr>
        <w:t xml:space="preserve">                                                              </w:t>
      </w: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СОСТАВ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противопаводковой комиссии  при администрации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Горьковский сельсовет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 Кушнаренковский район РБ</w:t>
      </w:r>
    </w:p>
    <w:p w:rsidR="00FE077C" w:rsidRDefault="00FE077C" w:rsidP="00FE0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7C" w:rsidRDefault="00FE077C" w:rsidP="00FE07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077C" w:rsidRDefault="00FE077C" w:rsidP="00FE077C">
      <w:pPr>
        <w:pStyle w:val="4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Председатель 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противопаводковой  комиссии  -  Шарафеев Д.И.   – глава  администрации   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сельского   поселения Горьковский  сельсовет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противопаводковой  комиссии  -  Гадеев Р.Р.          - глава КФХ  ИП Гадеев Р.Р.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 согласованию)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-  Мавлетов Р.К           - глава КФХ  ИП </w:t>
      </w:r>
      <w:r>
        <w:rPr>
          <w:rFonts w:ascii="Times New Roman" w:hAnsi="Times New Roman" w:cs="Times New Roman"/>
          <w:sz w:val="24"/>
          <w:szCs w:val="24"/>
          <w:lang w:val="tt-RU"/>
        </w:rPr>
        <w:t>Ма</w:t>
      </w:r>
      <w:r>
        <w:rPr>
          <w:rFonts w:ascii="Times New Roman" w:hAnsi="Times New Roman" w:cs="Times New Roman"/>
          <w:sz w:val="24"/>
          <w:szCs w:val="24"/>
        </w:rPr>
        <w:t>влетов Р.К.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 согласованию)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 Кашаев И.Ф.             - глава КФХ  ИП Кашаев И.Ф.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 согласованию)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 Гилязов Н.Ф.            – глава КФХ ИП Гилязов Н.Ф.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 согласованию)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 Ахмадгареев И.Р.         (по согласованию)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 Шакиров Р.Ф                (по согласованию)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  сельского  поселения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Горьковский  сельсовет                                                                      Д.И.Шарафеев      </w:t>
      </w: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7C" w:rsidRDefault="00FE077C" w:rsidP="00FE077C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E077C" w:rsidRDefault="00FE077C" w:rsidP="00FE077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FE077C" w:rsidRDefault="00FE077C" w:rsidP="00FE0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EB197C" w:rsidRPr="00FE077C" w:rsidRDefault="00EB197C">
      <w:pPr>
        <w:rPr>
          <w:lang w:val="tt-RU"/>
        </w:rPr>
      </w:pPr>
    </w:p>
    <w:sectPr w:rsidR="00EB197C" w:rsidRPr="00F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077C"/>
    <w:rsid w:val="00EB197C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77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E077C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7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7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E077C"/>
    <w:rPr>
      <w:rFonts w:ascii="Bash" w:eastAsia="Times New Roman" w:hAnsi="Bash" w:cs="Times New Roman"/>
      <w:b/>
      <w:caps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E0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FE07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E077C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077C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FE077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E077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2018-05-10T04:57:00Z</dcterms:created>
  <dcterms:modified xsi:type="dcterms:W3CDTF">2018-05-10T04:57:00Z</dcterms:modified>
</cp:coreProperties>
</file>