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F" w:rsidRDefault="00F3326F" w:rsidP="00F3326F">
      <w:pPr>
        <w:spacing w:after="0" w:line="240" w:lineRule="auto"/>
        <w:rPr>
          <w:sz w:val="16"/>
          <w:szCs w:val="16"/>
          <w:lang w:val="tt-RU"/>
        </w:rPr>
      </w:pPr>
    </w:p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F3326F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26F" w:rsidRDefault="00F3326F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F3326F" w:rsidRDefault="00F3326F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F3326F" w:rsidRDefault="00F3326F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F3326F" w:rsidRDefault="00F3326F" w:rsidP="000D77B6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26F" w:rsidRDefault="00F3326F" w:rsidP="000D77B6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6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6F" w:rsidRDefault="00F3326F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26F" w:rsidRDefault="00F3326F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F3326F" w:rsidRDefault="00F3326F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F3326F" w:rsidRDefault="00F3326F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F3326F" w:rsidRDefault="00F3326F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F3326F" w:rsidRDefault="00F3326F" w:rsidP="000D77B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F3326F" w:rsidRDefault="00F3326F" w:rsidP="000D77B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F3326F" w:rsidRDefault="00F3326F" w:rsidP="000D77B6">
            <w:pPr>
              <w:pStyle w:val="31"/>
              <w:spacing w:line="276" w:lineRule="auto"/>
              <w:rPr>
                <w:sz w:val="8"/>
                <w:szCs w:val="24"/>
              </w:rPr>
            </w:pPr>
          </w:p>
        </w:tc>
      </w:tr>
      <w:tr w:rsidR="00F3326F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26F" w:rsidRDefault="00F3326F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26F" w:rsidRDefault="00F3326F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26F" w:rsidRDefault="00F3326F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F3326F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3326F" w:rsidRDefault="00F3326F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3326F" w:rsidRDefault="00F3326F" w:rsidP="000D77B6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3326F" w:rsidRDefault="00F3326F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F3326F" w:rsidTr="000D77B6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F3326F" w:rsidRDefault="00F3326F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>
              <w:pict>
                <v:line id="_x0000_s1028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F3326F" w:rsidRDefault="00F3326F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pict>
                <v:line id="_x0000_s1029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pict>
                <v:line id="_x0000_s1026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3326F" w:rsidTr="000D77B6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F3326F" w:rsidRDefault="00F3326F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F3326F" w:rsidTr="000D77B6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F3326F" w:rsidRDefault="00F3326F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F3326F" w:rsidTr="000D77B6">
        <w:trPr>
          <w:cantSplit/>
          <w:trHeight w:val="80"/>
        </w:trPr>
        <w:tc>
          <w:tcPr>
            <w:tcW w:w="290" w:type="dxa"/>
            <w:gridSpan w:val="2"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«10»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май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50" w:type="dxa"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«10»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F3326F" w:rsidRDefault="00F3326F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F3326F" w:rsidRDefault="00F3326F" w:rsidP="00F332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Порядка организации бюджетного учета имущества казны</w:t>
      </w:r>
      <w:proofErr w:type="gramEnd"/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сельского поселения Горьковский сельсовет 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 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F3326F" w:rsidRDefault="00F3326F" w:rsidP="00F3326F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пунктами 95, 145 приложения 2 Приказа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руководствуясь статьями 32, 33 Устава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Администрация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3326F" w:rsidRDefault="00F3326F" w:rsidP="00F3326F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организации бюджетного учета имущества казны Администрации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 к настоящему постановлению.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2.Обнародовать настоящее постановление на информационном стенде Администрации сельского поселения.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Д.И.Шарафеев</w:t>
      </w:r>
      <w:proofErr w:type="spellEnd"/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Администрации сельского поселения 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Горьковский сельсовет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района </w:t>
      </w:r>
      <w:proofErr w:type="spellStart"/>
      <w:r>
        <w:rPr>
          <w:rFonts w:ascii="Times New Roman" w:hAnsi="Times New Roman" w:cs="Times New Roman"/>
        </w:rPr>
        <w:t>Кушнаренковский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Республики Башкортостан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от « 10»  мая  2018 г. № 12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ОРГАНИЗАЦИИ БЮДЖЕТНОГО УЧЕТА ИМУЩЕСТВА КАЗНЫ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СЕЛЬСКОГО ПОСЕЛЕНИЯ 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ГОРЬКОВСКИЙ СЕЛЬСОВЕТ  МУНИЦИПАЛЬНОГО РАЙОНА </w:t>
      </w:r>
    </w:p>
    <w:p w:rsidR="00F3326F" w:rsidRDefault="00F3326F" w:rsidP="00F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КУШНАРЕНКОВСКИЙ РАЙОН РЕСПУБЛИКИ БАШКОРТОСТАН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1.1.Настоящий Порядок разработан для ведения бюджетного учета имущества казны, состоящего из недвижимого и движимого имущества, находящегося в собственности Администрации 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поселения), не закрепленного на праве оперативного управления или хозяйственного ведения.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1.2.Цели </w:t>
      </w:r>
      <w:r>
        <w:rPr>
          <w:rFonts w:ascii="Times New Roman" w:hAnsi="Times New Roman" w:cs="Times New Roman"/>
          <w:bCs/>
          <w:sz w:val="26"/>
          <w:szCs w:val="26"/>
        </w:rPr>
        <w:t>управления и распоряжения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имуществом казны: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системы бюджетного учета, сохранности и содержания имущества казны;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эффективности управления имуществом, находящимся в муниципальной собственности;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своевременного, оперативного отражения изменений в составе и характеристиках имущества, составляющего казну;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-проведение анализа использования имущества казны.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Основные задачи бюджетного учета, управления и распоряжения имуществом казны: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-обеспечение полного и непрерывного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учета имущества казны и его движения;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-выявление и применение наиболее эффективных способов использования имущества казны;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сохранностью, содержанием и использованием имущества казны;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F3326F" w:rsidRDefault="00F3326F" w:rsidP="00F3326F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Основания для учета имущества в казне: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закрепления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-иные основания, предусмотренные действующим законодательством.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Бюджетный учет имущества казны осуществляется специалистом поселения.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Формирование имущества казны</w:t>
      </w:r>
    </w:p>
    <w:p w:rsidR="00F3326F" w:rsidRDefault="00F3326F" w:rsidP="00F3326F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имущества казны осуществляется путем: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-создания новых объектов за счет средств бюджета поселения;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-приобретения в собственность объектов на основании договоров купли-продажи и иных договоров о передаче объектов в муниципальную собственность;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-безвозмездной передачи объектов в муниципальную собственность юридическими и физическими лицами;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-принятия объектов в муниципальную собственность на основании нормативных правовых актов Российской Федерации;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-изъятия объектов из хозяйственного ведения, из оперативного управления в порядке, определенном нормативными правовыми актами Российской Федерации, субъектов Российской Федерации и муниципальных образований;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Состав имущества казны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имущества казны входит недвижимое и движимое имущество, ценные бумаги, нематериальные активы, находящиеся в собственности поселения, не закрепленные на праве хозяйственного ведения или оперативного управления.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Организация процесса постановки и снятия с учета имущества казны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Объекты имущества в составе муниципальной казны поселения отражаются в бюджетном учете в стоимостном выражении без ведения инвентарного и аналитического учета объектов имущества муниципальной казны поселения.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Операции с объектами в составе имущества муниципальной казны поселения отражаются в бюджетном учете в порядке, установленном 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с учетом особенностей, предусмотренных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Приказом Министерства финансов Российской Федерации от 06.12.2010 № 162н "Об утверждении Плана счетов бюджетного учета и Инструкции по его применению".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Поступление (выбытие) объектов имущества муниципальной казны поселения отражается в бюджетном учете на основании следующих документов: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выписки из реестра муниципального имущества;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постановления Администрации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принятии (исключении) имущества в казну поселения (в случае если имущество не является объектом учета реестра муниципального имущества);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первичных учетных документов, составленных по унифицированным формам, утвержденным Приказом Министерства финансов Российской Федерации от 15.12.2010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(далее - Приказ 173н) или постановлением Государственного комитета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по статистике от 21.01.2003 № 7 "Об утверждении унифицированных форм первичной учетной документации по учету основных средств", в том числе:</w:t>
      </w:r>
    </w:p>
    <w:p w:rsidR="00F3326F" w:rsidRDefault="00F3326F" w:rsidP="00F3326F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 о приеме-передаче объекта основных средств (кроме зданий, сооружений);</w:t>
      </w:r>
    </w:p>
    <w:p w:rsidR="00F3326F" w:rsidRDefault="00F3326F" w:rsidP="00F3326F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 о приеме-передаче здания (сооружения);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 о приеме-передаче групп объектов основных средств (кроме зданий, сооружений);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требование-накладная.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 Операции с объектами имущества муниципальной казны поселения отражаются в бюджетном учете по мере получения документов, перечисленных в пункте 4.3 настоящего раздела.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Объекты имущества муниципальной казны принимаются к бюджетному учету по балансовой стоимости, указанной в документах, перечисленных в пункте 4.3 настоящего раздела.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 сохранности объектов имущества муниципальной казны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поселении должен быть определен перечень материально ответственных лиц, на хранении у которых находятся объекты имущества муниципальной казны.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Бюджетный учет имущества казны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Имущество, составляющее казну поселения, принадлежит на праве собственности поселению.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</w:t>
      </w:r>
      <w:r>
        <w:rPr>
          <w:rFonts w:ascii="Times New Roman" w:hAnsi="Times New Roman" w:cs="Times New Roman"/>
          <w:sz w:val="26"/>
          <w:szCs w:val="26"/>
        </w:rPr>
        <w:lastRenderedPageBreak/>
        <w:t>казны. Операции с объектами отражаются в бюджетном учете по мере поступления информации о движении имущества. Ведение учета имущества казны осуществляется с применением системы автоматизации бюджетного учета (программных средств).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 имущества 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  <w:proofErr w:type="gramEnd"/>
    </w:p>
    <w:p w:rsidR="00F3326F" w:rsidRDefault="00F3326F" w:rsidP="00F3326F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Оценка стоимости объектов казны осуществляется путем: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-использования сведений об уровне цен, имеющихся у органов государственной статистики, в средствах массовой информации и специальной литературе – экспертные заключения о стоимости отдельных (аналогичных) объектов нефинансовых активов.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Порядок отражения в бюджетном учете амортизации объектов имущества муниципальной казны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При принятии к бюджетному учету объектов имущества, включенных в состав муниципальной казны по основанию прекращения права оперативного управления (хозяйственного ведения), сумма амортизации данного имущества, начисленная последним правообладателем, подлежит отражению в бюджетном учете.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течение времени нахождения объекта имущества в составе муниципальной казны амортизация на объекты имущества муниципальной казны не начисляется.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 (правообладателем) при принятии объекта к учету по основанию закрепления за ним права оперативного управления (хозяйственного ведения).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Содержание имущества муниципальной казны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Содержание имущества казны осуществляется путем поддержания имущества в исправном состоянии и обеспечения его сохранности.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7.2.В целях поддержания имущества казны в исправном состоянии осуществляется деятельность, связанная с ремонтом имущества казны, его эксплуатацией, а также иные мероприятия.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7.3.Для обеспечения сохранности имущества казны может производиться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случаях передачи имущества казны во временное пользование по договору аренды, безвозмездного пользования, передачи имущества на определенный срок для осуществления управления имуществом по договору доверительного управления, передачи в соответствии с условиями договора залога и в других случаях, установленных законодательством, содержание имущества казны осуществляется соответственно арендаторами, ссудополучателями, доверительными управляющими, залогодержателями или иными лицами, у которых находится имущество казны, за их счет</w:t>
      </w:r>
      <w:proofErr w:type="gramEnd"/>
      <w:r>
        <w:rPr>
          <w:rFonts w:ascii="Times New Roman" w:hAnsi="Times New Roman" w:cs="Times New Roman"/>
          <w:sz w:val="26"/>
          <w:szCs w:val="26"/>
        </w:rPr>
        <w:t>, если иное не предусмотрено законом или соглашением сторон.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Ремонт и обеспечение сохранности имущества казны в случаях, не предусмотренных пунктом 7.4 настоящего Порядка, могут осуществляться муниципальными предприятиями (казенными учреждениями) или иными организациями на основании договоров, заключаемых с соответствующими предприятиями, в порядке, установленном действующим законодательством.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Расходы на содержание имущества казны финансируются за счет средств бюджета </w:t>
      </w:r>
      <w:r>
        <w:rPr>
          <w:rFonts w:ascii="Times New Roman" w:hAnsi="Times New Roman" w:cs="Times New Roman"/>
          <w:bCs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либо за счет арендаторов, ссудополучателей, доверительных управляющих и залогодержателей.</w:t>
      </w:r>
    </w:p>
    <w:p w:rsidR="00F3326F" w:rsidRDefault="00F3326F" w:rsidP="00F3326F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сохранностью и целевым использованием имущества казны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Инвентаризация имущества муниципальной казны производится в общем порядке, предусмотренном для инвентаризации нефинансовых активов. Для отражения результатов инвентаризации имущества муниципальной казны применяются регистры бухгалтерского учета, утвержденные Приказом 173н для отражения результатов инвентаризации нефинансовых активов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Проведение инвентаризации имущества казны обязательно: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передаче имущества в аренду, продаже имущества, перед составлением годовой бухгалтерской отчетности;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смене лиц, ответственных за ведение реестра имущества муниципальной казны;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выявлении фактов хищения, злоупотребления или порчи имущества, находящегося в муниципальной собственности;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-в случае стихийного бедствия, пожара или других чрезвычайных ситуаций; 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других случаях, предусмотренных законодательством Российской Федерации.</w:t>
      </w:r>
    </w:p>
    <w:p w:rsidR="00F3326F" w:rsidRDefault="00F3326F" w:rsidP="00F332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 Бюджетная отчетность по имуществу казны</w:t>
      </w: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F3326F" w:rsidRDefault="00F3326F" w:rsidP="00F3326F">
      <w:pPr>
        <w:rPr>
          <w:rFonts w:ascii="Times New Roman" w:hAnsi="Times New Roman" w:cs="Times New Roman"/>
        </w:rPr>
      </w:pPr>
    </w:p>
    <w:p w:rsidR="00F3326F" w:rsidRDefault="00F3326F" w:rsidP="00F332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326F" w:rsidRDefault="00F3326F" w:rsidP="00F3326F">
      <w:pPr>
        <w:tabs>
          <w:tab w:val="left" w:pos="7830"/>
        </w:tabs>
        <w:ind w:left="709" w:right="992"/>
        <w:jc w:val="both"/>
        <w:rPr>
          <w:rFonts w:ascii="Times New Roman" w:hAnsi="Times New Roman" w:cs="Times New Roman"/>
          <w:sz w:val="26"/>
          <w:szCs w:val="20"/>
        </w:rPr>
      </w:pPr>
    </w:p>
    <w:p w:rsidR="00F3326F" w:rsidRDefault="00F3326F" w:rsidP="00F3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6F" w:rsidRDefault="00F3326F" w:rsidP="00F3326F"/>
    <w:p w:rsidR="00724A7B" w:rsidRDefault="00724A7B"/>
    <w:sectPr w:rsidR="0072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6F"/>
    <w:rsid w:val="00724A7B"/>
    <w:rsid w:val="00E37239"/>
    <w:rsid w:val="00F3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26F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3326F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26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3326F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3326F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326F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F3326F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3326F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2018-05-10T05:02:00Z</dcterms:created>
  <dcterms:modified xsi:type="dcterms:W3CDTF">2018-05-10T05:05:00Z</dcterms:modified>
</cp:coreProperties>
</file>