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472826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826" w:rsidRDefault="00472826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r>
              <w:rPr>
                <w:rFonts w:ascii="Times New Roman" w:hAnsi="Times New Roman"/>
                <w:spacing w:val="-4"/>
                <w:sz w:val="18"/>
              </w:rPr>
              <w:t>ы</w:t>
            </w:r>
          </w:p>
          <w:p w:rsidR="00472826" w:rsidRDefault="00472826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472826" w:rsidRDefault="00472826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472826" w:rsidRDefault="00472826" w:rsidP="000D77B6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826" w:rsidRDefault="00472826" w:rsidP="000D77B6">
            <w:pPr>
              <w:spacing w:after="0" w:line="240" w:lineRule="auto"/>
              <w:jc w:val="center"/>
              <w:rPr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4" name="Рисунок 4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826" w:rsidRDefault="00472826" w:rsidP="000D77B6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826" w:rsidRDefault="00472826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472826" w:rsidRDefault="00472826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472826" w:rsidRDefault="00472826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472826" w:rsidRDefault="00472826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472826" w:rsidRDefault="00472826" w:rsidP="000D77B6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472826" w:rsidRDefault="00472826" w:rsidP="000D77B6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472826" w:rsidRDefault="00472826" w:rsidP="000D77B6">
            <w:pPr>
              <w:pStyle w:val="31"/>
              <w:spacing w:line="276" w:lineRule="auto"/>
              <w:rPr>
                <w:sz w:val="8"/>
                <w:szCs w:val="24"/>
              </w:rPr>
            </w:pPr>
          </w:p>
        </w:tc>
      </w:tr>
      <w:tr w:rsidR="00472826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826" w:rsidRDefault="00472826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826" w:rsidRDefault="00472826" w:rsidP="000D77B6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826" w:rsidRDefault="00472826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472826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72826" w:rsidRDefault="00472826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72826" w:rsidRDefault="00472826" w:rsidP="000D77B6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72826" w:rsidRDefault="00472826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472826" w:rsidTr="000D77B6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  <w:hideMark/>
          </w:tcPr>
          <w:p w:rsidR="00472826" w:rsidRDefault="00472826" w:rsidP="000D77B6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472826" w:rsidRDefault="00472826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>
              <w:pict>
                <v:line id="_x0000_s1028" style="position:absolute;left:0;text-align:left;z-index:251660288;mso-position-horizontal-relative:margin;mso-position-vertical-relative:text" from="363.15pt,14.75pt" to="858.5pt,14.75pt" strokeweight="3.1pt">
                  <w10:wrap anchorx="margin"/>
                </v:line>
              </w:pict>
            </w:r>
            <w:r>
              <w:pict>
                <v:line id="_x0000_s1027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472826" w:rsidRDefault="00472826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>
              <w:pict>
                <v:line id="_x0000_s1029" style="position:absolute;left:0;text-align:left;z-index:251662336;mso-position-horizontal-relative:margin;mso-position-vertical-relative:text" from="269.85pt,8.35pt" to="431pt,8.35pt" strokeweight=".7pt">
                  <w10:wrap anchorx="margin"/>
                </v:line>
              </w:pict>
            </w:r>
            <w:r>
              <w:pict>
                <v:line id="_x0000_s1026" style="position:absolute;left:0;text-align:left;z-index:251663360;mso-position-horizontal-relative:margin;mso-position-vertical-relative:text" from="270.1pt,8.35pt" to="773.6pt,8.35pt" strokeweight="3.1pt">
                  <w10:wrap anchorx="margin"/>
                </v:line>
              </w:pict>
            </w:r>
            <w:r>
              <w:pict>
                <v:line id="_x0000_s1030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472826" w:rsidTr="000D77B6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472826" w:rsidTr="000D77B6">
        <w:trPr>
          <w:gridBefore w:val="7"/>
          <w:gridAfter w:val="6"/>
          <w:wBefore w:w="4166" w:type="dxa"/>
          <w:wAfter w:w="4122" w:type="dxa"/>
          <w:cantSplit/>
          <w:trHeight w:val="301"/>
        </w:trPr>
        <w:tc>
          <w:tcPr>
            <w:tcW w:w="2613" w:type="dxa"/>
            <w:gridSpan w:val="2"/>
            <w:vMerge/>
            <w:vAlign w:val="center"/>
            <w:hideMark/>
          </w:tcPr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472826" w:rsidTr="000D77B6">
        <w:trPr>
          <w:cantSplit/>
          <w:trHeight w:val="80"/>
        </w:trPr>
        <w:tc>
          <w:tcPr>
            <w:tcW w:w="290" w:type="dxa"/>
            <w:gridSpan w:val="2"/>
          </w:tcPr>
          <w:p w:rsidR="00472826" w:rsidRDefault="0047282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826" w:rsidRDefault="0047282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«13»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826" w:rsidRDefault="0047282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апрель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826" w:rsidRDefault="0047282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826" w:rsidRDefault="0047282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й</w:t>
            </w:r>
          </w:p>
        </w:tc>
        <w:tc>
          <w:tcPr>
            <w:tcW w:w="342" w:type="dxa"/>
          </w:tcPr>
          <w:p w:rsidR="00472826" w:rsidRDefault="0047282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472826" w:rsidRDefault="00472826" w:rsidP="000D77B6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826" w:rsidRDefault="00472826" w:rsidP="000D77B6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50" w:type="dxa"/>
          </w:tcPr>
          <w:p w:rsidR="00472826" w:rsidRDefault="0047282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826" w:rsidRDefault="00472826" w:rsidP="000D77B6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«13»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826" w:rsidRDefault="00472826" w:rsidP="000D77B6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826" w:rsidRDefault="0047282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2826" w:rsidRDefault="0047282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472826" w:rsidRDefault="00472826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75" w:type="dxa"/>
        <w:tblInd w:w="-74" w:type="dxa"/>
        <w:tblLayout w:type="fixed"/>
        <w:tblLook w:val="04A0"/>
      </w:tblPr>
      <w:tblGrid>
        <w:gridCol w:w="9975"/>
      </w:tblGrid>
      <w:tr w:rsidR="00472826" w:rsidTr="000D77B6">
        <w:tc>
          <w:tcPr>
            <w:tcW w:w="9971" w:type="dxa"/>
            <w:hideMark/>
          </w:tcPr>
          <w:p w:rsidR="00472826" w:rsidRDefault="00472826" w:rsidP="000D77B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организации сбора и утилизации отработанных ртутьсодержащих ламп на территории сельского поселения Горьковский сельсовет муниципального района Кушнаренковский район Республики Башкортостан</w:t>
            </w:r>
          </w:p>
        </w:tc>
      </w:tr>
    </w:tbl>
    <w:p w:rsidR="00472826" w:rsidRDefault="00472826" w:rsidP="0047282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среде», в соответствии со ст.14 Федерального закона от 06 октября 2003 года № 131-ФЗ «Об общих принципах организации местного самоуправления в Российской Федерации», ст.ст. 7,10 Федерального закона «Об охране окружающей среды», ст.ст. 8,13 Федерального закона «Об отходах производства и потребления», п.п. д.1 п.11 Правил содержания общего имущества в многоквартирном доме, утвержденных постановлением Правительства РФ от 13.08.2006 г. № 491, руководствуясь Уставом сельского поселения Горьковский сельсовет муниципального района Кушнаренковский район Республики Башкортостан ПОСТАНОВЛЯЮ:</w:t>
      </w:r>
    </w:p>
    <w:p w:rsidR="00472826" w:rsidRDefault="00472826" w:rsidP="004728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 организации сбора отработанных ртутьсодержащих ламп на территории сельского поселения Горьковский сельсовет муниципального района Кушнаренковский район Республики Башкортостан согласно приложению № 1 к настоящему постановлению.</w:t>
      </w:r>
    </w:p>
    <w:p w:rsidR="00472826" w:rsidRDefault="00472826" w:rsidP="004728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постановление на официальном сайте администрации сельского поселения Горьковский сельсовет муниципального района Кушнаренковский район Республики Башкортостан в сети «Интернет»</w:t>
      </w:r>
    </w:p>
    <w:p w:rsidR="00472826" w:rsidRDefault="00472826" w:rsidP="0047282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472826" w:rsidRDefault="00472826" w:rsidP="004728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2826" w:rsidRDefault="00472826" w:rsidP="00472826">
      <w:pPr>
        <w:spacing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                                                                 Д.И.Шарафеев  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472826" w:rsidTr="000D77B6">
        <w:trPr>
          <w:trHeight w:val="1560"/>
        </w:trPr>
        <w:tc>
          <w:tcPr>
            <w:tcW w:w="4785" w:type="dxa"/>
          </w:tcPr>
          <w:p w:rsidR="00472826" w:rsidRDefault="00472826" w:rsidP="000D77B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Приложение № 1 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 Постановлению главы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сельского  поселения 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Горьковский сельсовет  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муниципального района 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Кушнаренковский район 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Республики Башкортостан                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от  13 апреля 2018  года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  <w:p w:rsidR="00472826" w:rsidRDefault="00472826" w:rsidP="000D77B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сбора отработанных ртутьсодержащих ламп на территории сельского поселения Горьковский сельсовет муниципального района</w:t>
      </w: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Кушнаренковский район Республики Башкортостан</w:t>
      </w:r>
    </w:p>
    <w:p w:rsidR="00472826" w:rsidRDefault="00472826" w:rsidP="00472826">
      <w:pPr>
        <w:jc w:val="center"/>
        <w:rPr>
          <w:sz w:val="26"/>
          <w:szCs w:val="26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Порядок организации сбора отработанных ртутьсодержащих ламп на территории сельского поселения Горьковский сельсовет муниципального района Кушнаренковский район Республики Башкортостан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Порядок разработан в соответствии с Федеральным законом от 24 июня 1998 года № 89-ФЗ «Об отходах производства и потребления», Гост 12.3.031-83. «Система стандартов безопасности труда. Работы со ртутью. Требования безопасности», Санитарных правил при работе со ртутью, ее соединениями и приборами с ртутным заполнением, утв. Главным государственным санитарным врачом СССР 04 апреля 1988 года № 4607-88, Постановлением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 Горьковский сельсовет муниципального района Кушнаренковский район Республики Башкортостан, не имеющих лицензии на осуществление деятельности по сбору, использованию, обезвреживанию, транспортированию, размещению отходов I-IV класса опасности, физических лиц, проживающих на территории сельского поселения Горьковский сельсовет муниципального района Кушнаренковский район Республики Башкортостан.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настоящем Порядке используются следующие термины и определения: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Отработанные ртутьсодержащие лампы –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Накопление отработанных ртутьсодержащих ламп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отработанных ртутьсодержащих ламп – применение отработанных ртутьсодержащих ламп для производства товаров (продукции) выполнения работ, оказания услуг или получения энергии;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отработанных ртутьсодержащих ламп – деятельность, связанная с удалением отработанных ртутьсодержащих ламп из мест их образования, накопления;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Потребители ртутьсодержащих ламп –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 же физические лица, эксплуатирующие осветительные устройства и электрические лампы с ртутным заполнением;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транспортирование,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классов;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472826" w:rsidRDefault="00472826" w:rsidP="004728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сбора и накопления отработанных ртутьсодержащих ламп.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 Потребители ртутьсодержащих ламп (кроме физических лиц) осуществляют накопление отработанных ртутьсодержащих ламп.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Накопление отработанных ртутьсодержащих ламп производится отдельно от других видов отходов.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2.3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 Администрация сельского поселения Горьковский сельсовет муниципального района Кушнаренковский район Республики Башкортостан организует сбор, и определяет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2.5.2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2.7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класса опасности осуществляют накопление отработанных ртутьсодержащих ламп.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2.10 Потребители - физические лица не вправе осуществлять временное хранение (накопление) отработанных ртутьсодержащих ламп.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 Не допускается совместное хранение поврежденных и неповрежденных ртутьсодержащих ламп.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Хранение поврежденных ртутьсодержащих ламп осуществляется в специальной таре.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Обязательными документами при обращении с ртутьсодержащими лампами являются: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2.15.1. Инструкция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2.15.2. Журнал учета образования и движения отработанных ртутьсодержащих ламп;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2.15.3. Договор со специализированной организацией на утилизацию отработанных ртутьсодержащих ламп;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 На всех объектах хозяйственной или иной деятельности, осуществляемой юридическими лицами и индивидуальными предпринимателями на территории сельского поселения Горьковский сельсовет муниципального района Кушнаренковский район Республики Башкортостан, проводится учет образования и движения отработанных ртутьсодержащих ламп.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 Отработанные ртутьсодержащие лампы подлежат сдаче специализированной организации на договорной основе один раз в 6 месяцев.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 Акт (справка) является документом подтверждающим сдачу-приемку отработанных ртутьсодержащих ламп, выписывается в двух экземплярах, первый находиться у юридического лица, индивидуального предпринимателя сдавшего отработанные ртутьсодержащие лампы, второй – у специализированной организации, принявшей отработанные ртутьсодержащие лампы.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2.20. Юридические лица, индивидуальные предприниматели по запросу администрации сельского поселения Горьковский сельсовет  муниципального района Кушнаренковский район Республики Башкортостан (по месту осуществления своей деятельности) представляют информацию об отработанных ртутьсодержащих лампах. 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Информирование населения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Информирование о порядке сбора отработанных ртутьсодержащих ламп осуществляется администрацией сельского поселения Горьковский сельсовет муниципального района Кушнаренковский район Республики Башкортостан,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Информация о порядке сбора отработанных ртутьсодержащих ламп размещается на официальном сайте в сети «Интернет» Администрации сельского поселения Горьковский сельсовет муниципального района Кушнаренковский район Республики Башкортостан и информационном стенде.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(стойках) в помещении управляющей организации.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Размещению подлежит следующая информация:</w:t>
      </w:r>
    </w:p>
    <w:p w:rsidR="00472826" w:rsidRDefault="00472826" w:rsidP="0047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организации сбора отработанных ртутьсодержащих ламп;</w:t>
      </w:r>
    </w:p>
    <w:p w:rsidR="00472826" w:rsidRDefault="00472826" w:rsidP="0047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472826" w:rsidRDefault="00472826" w:rsidP="0047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Места и условия приема отработанных ртутьсодержащих ламп;</w:t>
      </w:r>
    </w:p>
    <w:p w:rsidR="00472826" w:rsidRDefault="00472826" w:rsidP="0047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Стоимость услуг по приему отработанных ртутьсодержащих ламп;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 сельского поселения Горьковский сельсовет муниципального района Кушнаренковский район Республики Башкортостан.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за нарушение правил обращения с отработанными ртутьсодержащими лампами</w:t>
      </w: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Контроль за соблюдением требований в области обращения с отработанными ртутьсодержащими лампами осуществляется администрацией сельского поселения Горьковский сельсовет муниципального района Кушнаренковский район Республики Башкортостан.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 За нарушения настоящего Порядка граждане, должностные лица и юридические несут ответственность в соответствии с действующим законодательством Российской Федерации и Республики Башкортостан.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                                                                         Р.Р.Галяутдинова</w:t>
      </w: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472826" w:rsidTr="000D77B6">
        <w:tc>
          <w:tcPr>
            <w:tcW w:w="4785" w:type="dxa"/>
          </w:tcPr>
          <w:p w:rsidR="00472826" w:rsidRDefault="00472826" w:rsidP="000D77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</w:p>
          <w:p w:rsidR="00472826" w:rsidRDefault="00472826" w:rsidP="000D77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826" w:rsidRDefault="00472826" w:rsidP="000D77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Приложение № 2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 Постановлению главы 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сельского поселения 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Горьковский сельсовет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муниципального района 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Кушнаренковский район 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Республики Башкортостан                 </w:t>
            </w:r>
          </w:p>
          <w:p w:rsidR="00472826" w:rsidRDefault="00472826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от 13 апреля 2018 года № 10</w:t>
            </w:r>
          </w:p>
        </w:tc>
      </w:tr>
    </w:tbl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ТИПОВАЯ ИНСТРУКЦИЯ</w:t>
      </w: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организации сбора отработанных ртутьсодержащих ламп на территории сельского поселения Горьковский сельсовет муниципального района Кушнаренковский район Республики Башкортостан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настоящей Инструкции изложены основные требования по сбору, сортировке и приему ртутьсодержащих отходов.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Инструкция составлена в рамках реализации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требованиями Закона РФ № 52-ФЗ от 30.03.1999 г. «О санитарно-эпидемиологическом благополучии населения», «Санитарных правил при работе с ртутью, ее соединениями и приборами с ртутным заполнением» от 04.04.1988 г. № 4607-88, «Методическими рекомендациями по контролю за организацией текущей заключительной демеркуризацией и оценке её эффективности» от 31.12.1987 г. № 4515- 87, нормативов СанПиН 2.1.7.1322-03 «Гигиенические требования к размещению и обезвреживанию отходов производства и потребления» и Санитарных правил при работе с ртутью, ее соединениями и приборами с ртутным заполнением.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1.1. Отходы I класса опасности (чрезвычайно опасные) – отработанные ртутьсодержащие лампы (далее ОРТЛ) – подлежат сбору и отправке на демеркуризацию.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1.2. Ртутьсодержащие лампы (РТЛ) – лампы типа ДРЛ, ЛБ, ЛД, L18/20 и F18/W54 (не российского производства), и другие типы ламп, используемые для освещения в помещениях организации.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1.3. Отработанные ртутьсодержащие лампы – отработанные или пришедшие в негодность РТЛ.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1.4. Ртуть – вещество ПЕРВОГО класса опасности.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 разбитая лампа, содержащая ртуть в количестве 0,1 г. делает непригодным для дыхания воздух в помещении объёмом 5000 м3.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Условия хранения отработанных ртутьсодержащих ламп.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Главным условием при замене и сборе ОРТЛ является сохранение герметичности.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Сбор ОРТЛ необходимо производить на месте их образования отдельно от обычного мусора и старого раздельно с учётом метода переработки и обезвреживания.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В процессе сбора лампы разделяются по диаметру и длине.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После упаковки ОРТЛ в тару для хранения их следует сложить в отдельные коробки из фанеры или ДСП.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Лампы в коробку должны укладываться плотно.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Помещение предназначенное для хранения ОРТЛ должно быть просторным (чтоб не стесняло движение человека с вытянутыми руками), иметь возможность проветриваться, так же необходимо наличие приточно-вытяжной вентиляции.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Помещение, предназначенное для хранения ОРТЛ, должно быть удалено от бытовых помещений.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помещении где хранятся ОРТЛ необходимо наличие емкости с водой, не менее 10 литров, а так же запас реактивов (марганцевого калия).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При разбитии ОРТЛ контейнер для хранения (место разбития) необходимо обработать 10 % раствором перманганата калия и смыть водой. Осколки собираются щёткой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ЗАПРЕЩАЕТСЯ: Хранить лампы под открытым небом; Хранение в таких местах, где к ним могут иметь доступ дети; Хранение ламп без тары; </w:t>
      </w:r>
      <w:r>
        <w:rPr>
          <w:rFonts w:ascii="Times New Roman" w:hAnsi="Times New Roman" w:cs="Times New Roman"/>
          <w:sz w:val="26"/>
          <w:szCs w:val="26"/>
        </w:rPr>
        <w:lastRenderedPageBreak/>
        <w:t>Хранение ламп в мягких картонных коробках; Хранение ламп на грунтовой поверхности.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сдачи, транспортировки и перевозки отработанных ртутьсодержащих ламп на утилизирующие предприятия</w:t>
      </w: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3.1. ОРТЛ сдаются на утилизацию один раз в 6 месяцев, отдельно от обычного мусора и строго раздельно с учетом метода переработки и обезвреживания, руководствуясь при этом требованиями санитарных правил и работам такого рода.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Отработанные лампы принимаются сухими, каждая лампа в отдельной таре. Исключается их битьё и выпадение при погрузочных работах.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Перевозкой ОРТЛ с территории организации до места утилизации осуществляет специализированная организация и несёт полную ответственность за все, что может произойти при их перевозке.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С момента погрузки отработанных люминесцентных ламп и других ртутьсодержащих отходов в автотранспорт Исполнителя отходы становятся собственностью Исполнителя, который несет полную ответственность за безопасность их перевозки и дальнейшей переработки.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Памятка </w:t>
      </w:r>
    </w:p>
    <w:p w:rsidR="00472826" w:rsidRDefault="00472826" w:rsidP="004728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для граждан о правилах эксплуатации и утилизации ртутьсодержащих ламп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Люминесцентные энергосберегающие лампы - качественно новый источник света.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Люминесцентная лампа это трубка с электродами, заполненная парами ртути и инертным газом (аргоном), а ее внутренние стенки покрыты люминофором.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 К - мягкий белый свет, 4200 К - дневной свет, 6400 К - холодный белый свет).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диффузность светового потока и сравнительно невысокая яркость. 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лучи.</w:t>
      </w: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Компактные шарообразные энергосберегающие лампы, имеющие двойное стекло, в части ультрафиолетового излучения полностью безопасны.</w:t>
      </w:r>
    </w:p>
    <w:p w:rsidR="00472826" w:rsidRDefault="00472826" w:rsidP="0047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энергосберегающие лампы в мусоропровод и уличные контейнеры для сбора ТБО. 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 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 В целях безопасности обращения с ртутьсодержащими отходами, лампы пришедшие в негодность, не повреждая, необходимо утилизировать, пользуясь услугами специализированных организаций.</w:t>
      </w: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18"/>
          <w:szCs w:val="18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18"/>
          <w:szCs w:val="18"/>
          <w:lang w:val="tt-RU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18"/>
          <w:szCs w:val="18"/>
          <w:lang w:val="tt-RU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18"/>
          <w:szCs w:val="18"/>
          <w:lang w:val="tt-RU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18"/>
          <w:szCs w:val="18"/>
          <w:lang w:val="tt-RU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18"/>
          <w:szCs w:val="18"/>
          <w:lang w:val="tt-RU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18"/>
          <w:szCs w:val="18"/>
          <w:lang w:val="tt-RU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18"/>
          <w:szCs w:val="18"/>
          <w:lang w:val="tt-RU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18"/>
          <w:szCs w:val="18"/>
          <w:lang w:val="tt-RU"/>
        </w:rPr>
      </w:pPr>
    </w:p>
    <w:p w:rsidR="00472826" w:rsidRDefault="00472826" w:rsidP="00472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472826" w:rsidRDefault="00472826" w:rsidP="00472826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472826" w:rsidRDefault="00472826" w:rsidP="00472826">
      <w:pPr>
        <w:rPr>
          <w:sz w:val="16"/>
          <w:szCs w:val="16"/>
        </w:rPr>
      </w:pPr>
    </w:p>
    <w:p w:rsidR="00FF5493" w:rsidRDefault="00FF5493"/>
    <w:sectPr w:rsidR="00FF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2826"/>
    <w:rsid w:val="00472826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2826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472826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82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72826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72826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2826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472826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472826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3682</Words>
  <Characters>20994</Characters>
  <Application>Microsoft Office Word</Application>
  <DocSecurity>0</DocSecurity>
  <Lines>174</Lines>
  <Paragraphs>49</Paragraphs>
  <ScaleCrop>false</ScaleCrop>
  <Company/>
  <LinksUpToDate>false</LinksUpToDate>
  <CharactersWithSpaces>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2018-05-10T04:59:00Z</dcterms:created>
  <dcterms:modified xsi:type="dcterms:W3CDTF">2018-05-10T05:00:00Z</dcterms:modified>
</cp:coreProperties>
</file>